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4" w:rsidRPr="0030252E" w:rsidRDefault="00540B77" w:rsidP="003E175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252E">
        <w:rPr>
          <w:rFonts w:ascii="Times New Roman" w:hAnsi="Times New Roman" w:cs="Times New Roman"/>
          <w:b/>
          <w:sz w:val="32"/>
          <w:szCs w:val="28"/>
        </w:rPr>
        <w:t>C</w:t>
      </w:r>
      <w:bookmarkStart w:id="0" w:name="_GoBack"/>
      <w:bookmarkEnd w:id="0"/>
      <w:r w:rsidRPr="0030252E">
        <w:rPr>
          <w:rFonts w:ascii="Times New Roman" w:hAnsi="Times New Roman" w:cs="Times New Roman"/>
          <w:b/>
          <w:sz w:val="32"/>
          <w:szCs w:val="28"/>
        </w:rPr>
        <w:t>OST SAVING AND PERFORMANCE ENHANC</w:t>
      </w:r>
      <w:r w:rsidR="00DB6CD2" w:rsidRPr="0030252E">
        <w:rPr>
          <w:rFonts w:ascii="Times New Roman" w:hAnsi="Times New Roman" w:cs="Times New Roman"/>
          <w:b/>
          <w:sz w:val="32"/>
          <w:szCs w:val="28"/>
        </w:rPr>
        <w:t>EMENTS</w:t>
      </w:r>
      <w:r w:rsidRPr="0030252E">
        <w:rPr>
          <w:rFonts w:ascii="Times New Roman" w:hAnsi="Times New Roman" w:cs="Times New Roman"/>
          <w:b/>
          <w:sz w:val="32"/>
          <w:szCs w:val="28"/>
        </w:rPr>
        <w:t xml:space="preserve"> AT </w:t>
      </w:r>
      <w:r w:rsidR="00DB6CD2" w:rsidRPr="0030252E">
        <w:rPr>
          <w:rFonts w:ascii="Times New Roman" w:hAnsi="Times New Roman" w:cs="Times New Roman"/>
          <w:b/>
          <w:sz w:val="32"/>
          <w:szCs w:val="28"/>
        </w:rPr>
        <w:t xml:space="preserve">THE </w:t>
      </w:r>
      <w:r w:rsidRPr="0030252E">
        <w:rPr>
          <w:rFonts w:ascii="Times New Roman" w:hAnsi="Times New Roman" w:cs="Times New Roman"/>
          <w:b/>
          <w:sz w:val="32"/>
          <w:szCs w:val="28"/>
        </w:rPr>
        <w:t xml:space="preserve">RUSHTON </w:t>
      </w:r>
      <w:r w:rsidR="00DB6CD2" w:rsidRPr="0030252E">
        <w:rPr>
          <w:rFonts w:ascii="Times New Roman" w:hAnsi="Times New Roman" w:cs="Times New Roman"/>
          <w:b/>
          <w:sz w:val="32"/>
          <w:szCs w:val="28"/>
        </w:rPr>
        <w:t>AMD</w:t>
      </w:r>
      <w:r w:rsidRPr="0030252E">
        <w:rPr>
          <w:rFonts w:ascii="Times New Roman" w:hAnsi="Times New Roman" w:cs="Times New Roman"/>
          <w:b/>
          <w:sz w:val="32"/>
          <w:szCs w:val="28"/>
        </w:rPr>
        <w:t xml:space="preserve"> PLANT</w:t>
      </w:r>
    </w:p>
    <w:p w:rsidR="00FA760B" w:rsidRPr="005F5434" w:rsidRDefault="00FA760B" w:rsidP="00FA760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760B" w:rsidRPr="005F5434" w:rsidRDefault="00FA760B" w:rsidP="00FA760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F5434">
        <w:rPr>
          <w:rFonts w:ascii="Times New Roman" w:hAnsi="Times New Roman" w:cs="Times New Roman"/>
        </w:rPr>
        <w:t>J.M. Dietz</w:t>
      </w:r>
    </w:p>
    <w:p w:rsidR="0030252E" w:rsidRDefault="0030252E">
      <w:pPr>
        <w:rPr>
          <w:rFonts w:ascii="Times New Roman" w:hAnsi="Times New Roman" w:cs="Times New Roman"/>
        </w:rPr>
      </w:pPr>
    </w:p>
    <w:p w:rsidR="003E175F" w:rsidRPr="0030252E" w:rsidRDefault="0030252E">
      <w:pPr>
        <w:rPr>
          <w:rFonts w:ascii="Times New Roman" w:hAnsi="Times New Roman" w:cs="Times New Roman"/>
          <w:b/>
        </w:rPr>
      </w:pPr>
      <w:r w:rsidRPr="0030252E">
        <w:rPr>
          <w:rFonts w:ascii="Times New Roman" w:hAnsi="Times New Roman" w:cs="Times New Roman"/>
          <w:b/>
        </w:rPr>
        <w:t>Extended Abstract</w:t>
      </w:r>
    </w:p>
    <w:p w:rsidR="0030252E" w:rsidRPr="005F5434" w:rsidRDefault="0030252E">
      <w:pPr>
        <w:rPr>
          <w:rFonts w:ascii="Times New Roman" w:hAnsi="Times New Roman" w:cs="Times New Roman"/>
        </w:rPr>
      </w:pPr>
    </w:p>
    <w:p w:rsidR="00D2471B" w:rsidRPr="0030252E" w:rsidRDefault="0030252E" w:rsidP="0030252E">
      <w:pPr>
        <w:pStyle w:val="BodyTextIndent"/>
        <w:spacing w:line="240" w:lineRule="auto"/>
        <w:ind w:firstLine="0"/>
        <w:rPr>
          <w:szCs w:val="24"/>
        </w:rPr>
      </w:pPr>
      <w:r>
        <w:rPr>
          <w:szCs w:val="24"/>
        </w:rPr>
        <w:tab/>
      </w:r>
      <w:r w:rsidR="007D18ED" w:rsidRPr="0030252E">
        <w:rPr>
          <w:szCs w:val="24"/>
        </w:rPr>
        <w:t xml:space="preserve">The Rushton </w:t>
      </w:r>
      <w:r w:rsidR="00DC0153" w:rsidRPr="0030252E">
        <w:rPr>
          <w:szCs w:val="24"/>
        </w:rPr>
        <w:t>Acid Mine Drainage (</w:t>
      </w:r>
      <w:r w:rsidR="007D18ED" w:rsidRPr="0030252E">
        <w:rPr>
          <w:szCs w:val="24"/>
        </w:rPr>
        <w:t>AMD</w:t>
      </w:r>
      <w:r w:rsidR="00DC0153" w:rsidRPr="0030252E">
        <w:rPr>
          <w:szCs w:val="24"/>
        </w:rPr>
        <w:t>)</w:t>
      </w:r>
      <w:r w:rsidR="007D18ED" w:rsidRPr="0030252E">
        <w:rPr>
          <w:szCs w:val="24"/>
        </w:rPr>
        <w:t xml:space="preserve"> </w:t>
      </w:r>
      <w:r w:rsidR="00DB6CD2" w:rsidRPr="0030252E">
        <w:rPr>
          <w:szCs w:val="24"/>
        </w:rPr>
        <w:t>Treatment Plant</w:t>
      </w:r>
      <w:r w:rsidR="007D18ED" w:rsidRPr="0030252E">
        <w:rPr>
          <w:szCs w:val="24"/>
        </w:rPr>
        <w:t xml:space="preserve"> is located </w:t>
      </w:r>
      <w:r w:rsidR="00DB6CD2" w:rsidRPr="0030252E">
        <w:rPr>
          <w:szCs w:val="24"/>
        </w:rPr>
        <w:t>near</w:t>
      </w:r>
      <w:r w:rsidR="007D18ED" w:rsidRPr="0030252E">
        <w:rPr>
          <w:szCs w:val="24"/>
        </w:rPr>
        <w:t xml:space="preserve"> Phillipsburg, Pennsylvania. The Rushton AMD Treatment </w:t>
      </w:r>
      <w:r w:rsidR="00DB6CD2" w:rsidRPr="0030252E">
        <w:rPr>
          <w:szCs w:val="24"/>
        </w:rPr>
        <w:t>Plant</w:t>
      </w:r>
      <w:r w:rsidR="007D18ED" w:rsidRPr="0030252E">
        <w:rPr>
          <w:szCs w:val="24"/>
        </w:rPr>
        <w:t xml:space="preserve"> treats between 2,500 and 5,000 gpm of </w:t>
      </w:r>
      <w:r w:rsidR="00DB6CD2" w:rsidRPr="0030252E">
        <w:rPr>
          <w:szCs w:val="24"/>
        </w:rPr>
        <w:t xml:space="preserve">pumped </w:t>
      </w:r>
      <w:r w:rsidR="007D18ED" w:rsidRPr="0030252E">
        <w:rPr>
          <w:szCs w:val="24"/>
        </w:rPr>
        <w:t xml:space="preserve">mine water from a </w:t>
      </w:r>
      <w:r w:rsidR="00DB6CD2" w:rsidRPr="0030252E">
        <w:rPr>
          <w:szCs w:val="24"/>
        </w:rPr>
        <w:t xml:space="preserve">partially </w:t>
      </w:r>
      <w:r w:rsidR="007D18ED" w:rsidRPr="0030252E">
        <w:rPr>
          <w:szCs w:val="24"/>
        </w:rPr>
        <w:t xml:space="preserve">flooded </w:t>
      </w:r>
      <w:r w:rsidR="00DB6CD2" w:rsidRPr="0030252E">
        <w:rPr>
          <w:szCs w:val="24"/>
        </w:rPr>
        <w:t>underground</w:t>
      </w:r>
      <w:r w:rsidR="007D18ED" w:rsidRPr="0030252E">
        <w:rPr>
          <w:szCs w:val="24"/>
        </w:rPr>
        <w:t xml:space="preserve"> </w:t>
      </w:r>
      <w:r w:rsidR="00DB6CD2" w:rsidRPr="0030252E">
        <w:rPr>
          <w:szCs w:val="24"/>
        </w:rPr>
        <w:t xml:space="preserve">coal </w:t>
      </w:r>
      <w:r w:rsidR="007D18ED" w:rsidRPr="0030252E">
        <w:rPr>
          <w:szCs w:val="24"/>
        </w:rPr>
        <w:t>mine</w:t>
      </w:r>
      <w:r w:rsidR="00DB6CD2" w:rsidRPr="0030252E">
        <w:rPr>
          <w:szCs w:val="24"/>
        </w:rPr>
        <w:t xml:space="preserve"> complex, which is</w:t>
      </w:r>
      <w:r w:rsidR="007D18ED" w:rsidRPr="0030252E">
        <w:rPr>
          <w:szCs w:val="24"/>
        </w:rPr>
        <w:t xml:space="preserve"> pump</w:t>
      </w:r>
      <w:r w:rsidR="00DB6CD2" w:rsidRPr="0030252E">
        <w:rPr>
          <w:szCs w:val="24"/>
        </w:rPr>
        <w:t>ed</w:t>
      </w:r>
      <w:r w:rsidR="007D18ED" w:rsidRPr="0030252E">
        <w:rPr>
          <w:szCs w:val="24"/>
        </w:rPr>
        <w:t xml:space="preserve"> to control water levels</w:t>
      </w:r>
      <w:r w:rsidR="00DB6CD2" w:rsidRPr="0030252E">
        <w:rPr>
          <w:szCs w:val="24"/>
        </w:rPr>
        <w:t xml:space="preserve"> and pre</w:t>
      </w:r>
      <w:r w:rsidR="007D18ED" w:rsidRPr="0030252E">
        <w:rPr>
          <w:szCs w:val="24"/>
        </w:rPr>
        <w:t xml:space="preserve">vent mine water from breaking out at </w:t>
      </w:r>
      <w:r w:rsidR="00DB6CD2" w:rsidRPr="0030252E">
        <w:rPr>
          <w:szCs w:val="24"/>
        </w:rPr>
        <w:t xml:space="preserve">unwanted </w:t>
      </w:r>
      <w:r w:rsidR="007D18ED" w:rsidRPr="0030252E">
        <w:rPr>
          <w:szCs w:val="24"/>
        </w:rPr>
        <w:t xml:space="preserve">locations in the </w:t>
      </w:r>
      <w:r w:rsidR="00DB6CD2" w:rsidRPr="0030252E">
        <w:rPr>
          <w:szCs w:val="24"/>
        </w:rPr>
        <w:t xml:space="preserve">Moshannon Creek </w:t>
      </w:r>
      <w:r w:rsidR="007D18ED" w:rsidRPr="0030252E">
        <w:rPr>
          <w:szCs w:val="24"/>
        </w:rPr>
        <w:t>watershed.</w:t>
      </w:r>
      <w:r w:rsidR="00DB6CD2" w:rsidRPr="0030252E">
        <w:rPr>
          <w:szCs w:val="24"/>
        </w:rPr>
        <w:t xml:space="preserve"> </w:t>
      </w:r>
      <w:r w:rsidR="00476E42" w:rsidRPr="0030252E">
        <w:rPr>
          <w:szCs w:val="24"/>
        </w:rPr>
        <w:t xml:space="preserve">The pumped Rushton AMD </w:t>
      </w:r>
      <w:r w:rsidR="00DC0153" w:rsidRPr="0030252E">
        <w:rPr>
          <w:szCs w:val="24"/>
        </w:rPr>
        <w:t xml:space="preserve">characteristics </w:t>
      </w:r>
      <w:r w:rsidR="00C2030D" w:rsidRPr="0030252E">
        <w:rPr>
          <w:szCs w:val="24"/>
        </w:rPr>
        <w:t xml:space="preserve">are </w:t>
      </w:r>
      <w:r w:rsidR="00DB6CD2" w:rsidRPr="0030252E">
        <w:rPr>
          <w:szCs w:val="24"/>
        </w:rPr>
        <w:t>provided in the table below</w:t>
      </w:r>
      <w:r w:rsidR="00C2030D" w:rsidRPr="0030252E">
        <w:rPr>
          <w:szCs w:val="24"/>
        </w:rPr>
        <w:t>,</w:t>
      </w:r>
      <w:r w:rsidR="00DB6CD2" w:rsidRPr="0030252E">
        <w:rPr>
          <w:szCs w:val="24"/>
        </w:rPr>
        <w:t xml:space="preserve"> and as shown varies with season and inflow in the underground mine complex.</w:t>
      </w:r>
      <w:r w:rsidR="00DC0153" w:rsidRPr="0030252E">
        <w:rPr>
          <w:szCs w:val="24"/>
        </w:rPr>
        <w:t xml:space="preserve"> </w:t>
      </w:r>
      <w:r w:rsidR="00C2030D" w:rsidRPr="0030252E">
        <w:rPr>
          <w:szCs w:val="24"/>
        </w:rPr>
        <w:t>The primary differences in the AMD chemistry is a decrease in pH and a corresponding increase in dissolved aluminum that follows the pH dependent solubility curve.</w:t>
      </w:r>
    </w:p>
    <w:p w:rsidR="00F00FBE" w:rsidRDefault="00F00FBE" w:rsidP="0030252E">
      <w:pPr>
        <w:pStyle w:val="BodyTextIndent"/>
        <w:spacing w:line="228" w:lineRule="auto"/>
        <w:ind w:firstLine="0"/>
        <w:rPr>
          <w:szCs w:val="24"/>
        </w:rPr>
      </w:pPr>
    </w:p>
    <w:p w:rsidR="0030252E" w:rsidRPr="0030252E" w:rsidRDefault="0030252E" w:rsidP="0030252E">
      <w:pPr>
        <w:pStyle w:val="BodyTextIndent"/>
        <w:spacing w:line="228" w:lineRule="auto"/>
        <w:ind w:firstLine="0"/>
        <w:rPr>
          <w:szCs w:val="24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97"/>
        <w:gridCol w:w="1589"/>
        <w:gridCol w:w="1170"/>
        <w:gridCol w:w="990"/>
        <w:gridCol w:w="886"/>
        <w:gridCol w:w="1376"/>
        <w:gridCol w:w="1323"/>
      </w:tblGrid>
      <w:tr w:rsidR="00DC0153" w:rsidRPr="0030252E" w:rsidTr="0030252E">
        <w:trPr>
          <w:trHeight w:val="288"/>
          <w:jc w:val="center"/>
        </w:trPr>
        <w:tc>
          <w:tcPr>
            <w:tcW w:w="9331" w:type="dxa"/>
            <w:gridSpan w:val="8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</w:rPr>
              <w:br w:type="page"/>
            </w:r>
            <w:r w:rsidRPr="0030252E">
              <w:rPr>
                <w:rFonts w:ascii="Times New Roman" w:hAnsi="Times New Roman" w:cs="Times New Roman"/>
                <w:b/>
              </w:rPr>
              <w:t xml:space="preserve">Rushton Mine AMD Characteristics </w:t>
            </w: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Temp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°C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pH</w:t>
            </w:r>
          </w:p>
        </w:tc>
        <w:tc>
          <w:tcPr>
            <w:tcW w:w="1589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Conduct.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µS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Hot Acidity</w:t>
            </w:r>
          </w:p>
        </w:tc>
        <w:tc>
          <w:tcPr>
            <w:tcW w:w="990" w:type="dxa"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Cold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Acidity</w:t>
            </w:r>
          </w:p>
        </w:tc>
        <w:tc>
          <w:tcPr>
            <w:tcW w:w="886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Iron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mg/L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Manganese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mg/L</w:t>
            </w:r>
          </w:p>
        </w:tc>
        <w:tc>
          <w:tcPr>
            <w:tcW w:w="1323" w:type="dxa"/>
            <w:vMerge w:val="restart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Aluminum</w:t>
            </w:r>
          </w:p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mg/L</w:t>
            </w: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mg/L (as CaCO</w:t>
            </w:r>
            <w:r w:rsidRPr="0030252E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3</w:t>
            </w:r>
            <w:r w:rsidRPr="0030252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886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vMerge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331" w:type="dxa"/>
            <w:gridSpan w:val="8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Late Winter through Early Summer</w:t>
            </w: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1950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121.5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24.0</w:t>
            </w: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331" w:type="dxa"/>
            <w:gridSpan w:val="8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0252E">
              <w:rPr>
                <w:rFonts w:ascii="Times New Roman" w:hAnsi="Times New Roman" w:cs="Times New Roman"/>
                <w:b/>
                <w:color w:val="000000"/>
              </w:rPr>
              <w:t>Late Summer through Early Winter</w:t>
            </w:r>
          </w:p>
        </w:tc>
      </w:tr>
      <w:tr w:rsidR="00DC0153" w:rsidRPr="0030252E" w:rsidTr="0030252E">
        <w:trPr>
          <w:trHeight w:val="288"/>
          <w:jc w:val="center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1650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990" w:type="dxa"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105.2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DC0153" w:rsidRPr="0030252E" w:rsidRDefault="00DC0153" w:rsidP="00302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52E">
              <w:rPr>
                <w:rFonts w:ascii="Times New Roman" w:hAnsi="Times New Roman" w:cs="Times New Roman"/>
                <w:color w:val="000000"/>
              </w:rPr>
              <w:t>9.4</w:t>
            </w:r>
          </w:p>
        </w:tc>
      </w:tr>
    </w:tbl>
    <w:p w:rsidR="00DC0153" w:rsidRPr="0030252E" w:rsidRDefault="00DC0153" w:rsidP="0030252E">
      <w:pPr>
        <w:rPr>
          <w:rFonts w:ascii="Times New Roman" w:hAnsi="Times New Roman" w:cs="Times New Roman"/>
        </w:rPr>
      </w:pPr>
    </w:p>
    <w:p w:rsidR="0030252E" w:rsidRDefault="0030252E" w:rsidP="0030252E">
      <w:pPr>
        <w:pStyle w:val="BodyTextIndent"/>
        <w:spacing w:line="240" w:lineRule="auto"/>
        <w:ind w:firstLine="0"/>
        <w:rPr>
          <w:szCs w:val="24"/>
        </w:rPr>
      </w:pPr>
    </w:p>
    <w:p w:rsidR="00DB6CD2" w:rsidRPr="0030252E" w:rsidRDefault="0030252E" w:rsidP="0030252E">
      <w:pPr>
        <w:pStyle w:val="BodyTextIndent"/>
        <w:spacing w:line="240" w:lineRule="auto"/>
        <w:ind w:firstLine="0"/>
        <w:rPr>
          <w:szCs w:val="24"/>
        </w:rPr>
      </w:pPr>
      <w:r>
        <w:rPr>
          <w:szCs w:val="24"/>
        </w:rPr>
        <w:tab/>
      </w:r>
      <w:r w:rsidR="00DB6CD2" w:rsidRPr="0030252E">
        <w:rPr>
          <w:szCs w:val="24"/>
        </w:rPr>
        <w:t>Active treatment of AMD at the Rushton Mine involves the use of hydrated lime to raise the pH</w:t>
      </w:r>
      <w:r w:rsidR="00E145FA" w:rsidRPr="0030252E">
        <w:rPr>
          <w:szCs w:val="24"/>
        </w:rPr>
        <w:t>, neutralize acidity and precipitate dissolved metals in the AMD. M</w:t>
      </w:r>
      <w:r w:rsidR="00DB6CD2" w:rsidRPr="0030252E">
        <w:rPr>
          <w:szCs w:val="24"/>
        </w:rPr>
        <w:t xml:space="preserve">echanical </w:t>
      </w:r>
      <w:r w:rsidR="00E145FA" w:rsidRPr="0030252E">
        <w:rPr>
          <w:szCs w:val="24"/>
        </w:rPr>
        <w:t xml:space="preserve">mixing and </w:t>
      </w:r>
      <w:r w:rsidR="00DB6CD2" w:rsidRPr="0030252E">
        <w:rPr>
          <w:szCs w:val="24"/>
        </w:rPr>
        <w:t xml:space="preserve">aeration </w:t>
      </w:r>
      <w:r w:rsidR="00E145FA" w:rsidRPr="0030252E">
        <w:rPr>
          <w:szCs w:val="24"/>
        </w:rPr>
        <w:t xml:space="preserve">are provided </w:t>
      </w:r>
      <w:r w:rsidR="00DB6CD2" w:rsidRPr="0030252E">
        <w:rPr>
          <w:szCs w:val="24"/>
        </w:rPr>
        <w:t xml:space="preserve">to </w:t>
      </w:r>
      <w:r w:rsidR="00E145FA" w:rsidRPr="0030252E">
        <w:rPr>
          <w:szCs w:val="24"/>
        </w:rPr>
        <w:t xml:space="preserve">solubilize the hydrated lime (as a slurry) and </w:t>
      </w:r>
      <w:r w:rsidR="00DB6CD2" w:rsidRPr="0030252E">
        <w:rPr>
          <w:szCs w:val="24"/>
        </w:rPr>
        <w:t xml:space="preserve">oxidize soluble </w:t>
      </w:r>
      <w:r w:rsidR="006C1A53" w:rsidRPr="0030252E">
        <w:rPr>
          <w:szCs w:val="24"/>
        </w:rPr>
        <w:t xml:space="preserve">Fe(II) </w:t>
      </w:r>
      <w:r w:rsidR="00DB6CD2" w:rsidRPr="0030252E">
        <w:rPr>
          <w:szCs w:val="24"/>
        </w:rPr>
        <w:t xml:space="preserve">iron </w:t>
      </w:r>
      <w:r w:rsidR="00E145FA" w:rsidRPr="0030252E">
        <w:rPr>
          <w:szCs w:val="24"/>
        </w:rPr>
        <w:t xml:space="preserve">and </w:t>
      </w:r>
      <w:r w:rsidR="006C1A53" w:rsidRPr="0030252E">
        <w:rPr>
          <w:szCs w:val="24"/>
        </w:rPr>
        <w:t>Mn(II)</w:t>
      </w:r>
      <w:r w:rsidR="00E145FA" w:rsidRPr="0030252E">
        <w:rPr>
          <w:szCs w:val="24"/>
        </w:rPr>
        <w:t xml:space="preserve"> manganese to </w:t>
      </w:r>
      <w:r w:rsidR="00DB6CD2" w:rsidRPr="0030252E">
        <w:rPr>
          <w:szCs w:val="24"/>
        </w:rPr>
        <w:t xml:space="preserve">insoluble </w:t>
      </w:r>
      <w:r w:rsidR="00E145FA" w:rsidRPr="0030252E">
        <w:rPr>
          <w:szCs w:val="24"/>
        </w:rPr>
        <w:t xml:space="preserve">and oxidized metal precipitates. The Rushton AMD Treatment Plant also uses </w:t>
      </w:r>
      <w:r w:rsidR="00DB6CD2" w:rsidRPr="0030252E">
        <w:rPr>
          <w:szCs w:val="24"/>
        </w:rPr>
        <w:t>polymer addition to flocculate small particles into rapidly settling larger particles</w:t>
      </w:r>
      <w:r w:rsidR="00E145FA" w:rsidRPr="0030252E">
        <w:rPr>
          <w:szCs w:val="24"/>
        </w:rPr>
        <w:t xml:space="preserve"> and </w:t>
      </w:r>
      <w:r w:rsidR="00DB6CD2" w:rsidRPr="0030252E">
        <w:rPr>
          <w:szCs w:val="24"/>
        </w:rPr>
        <w:t>large quiescent settling ponds for suspended solids removal</w:t>
      </w:r>
      <w:r w:rsidR="00E145FA" w:rsidRPr="0030252E">
        <w:rPr>
          <w:szCs w:val="24"/>
        </w:rPr>
        <w:t>. Han</w:t>
      </w:r>
      <w:r w:rsidR="00DB6CD2" w:rsidRPr="0030252E">
        <w:rPr>
          <w:szCs w:val="24"/>
        </w:rPr>
        <w:t xml:space="preserve">dling </w:t>
      </w:r>
      <w:r w:rsidR="00E145FA" w:rsidRPr="0030252E">
        <w:rPr>
          <w:szCs w:val="24"/>
        </w:rPr>
        <w:t>of the settled solids in the large ponds includes c</w:t>
      </w:r>
      <w:r w:rsidR="00DB6CD2" w:rsidRPr="0030252E">
        <w:rPr>
          <w:szCs w:val="24"/>
        </w:rPr>
        <w:t>ollect</w:t>
      </w:r>
      <w:r w:rsidR="00E145FA" w:rsidRPr="0030252E">
        <w:rPr>
          <w:szCs w:val="24"/>
        </w:rPr>
        <w:t>ion and</w:t>
      </w:r>
      <w:r w:rsidR="00DB6CD2" w:rsidRPr="0030252E">
        <w:rPr>
          <w:szCs w:val="24"/>
        </w:rPr>
        <w:t xml:space="preserve"> remov</w:t>
      </w:r>
      <w:r w:rsidR="00E145FA" w:rsidRPr="0030252E">
        <w:rPr>
          <w:szCs w:val="24"/>
        </w:rPr>
        <w:t xml:space="preserve">al by automated submersible pumps mounted on cable driven floating rafts. Collected solids are </w:t>
      </w:r>
      <w:r w:rsidR="00DB6CD2" w:rsidRPr="0030252E">
        <w:rPr>
          <w:szCs w:val="24"/>
        </w:rPr>
        <w:t>dispose</w:t>
      </w:r>
      <w:r w:rsidR="00E145FA" w:rsidRPr="0030252E">
        <w:rPr>
          <w:szCs w:val="24"/>
        </w:rPr>
        <w:t>d within the deep mine via injection wells</w:t>
      </w:r>
      <w:r w:rsidR="00DB6CD2" w:rsidRPr="0030252E">
        <w:rPr>
          <w:szCs w:val="24"/>
        </w:rPr>
        <w:t xml:space="preserve">. The </w:t>
      </w:r>
      <w:r w:rsidR="00E145FA" w:rsidRPr="0030252E">
        <w:rPr>
          <w:szCs w:val="24"/>
        </w:rPr>
        <w:t>Rush</w:t>
      </w:r>
      <w:r w:rsidR="006C1A53" w:rsidRPr="0030252E">
        <w:rPr>
          <w:szCs w:val="24"/>
        </w:rPr>
        <w:t>t</w:t>
      </w:r>
      <w:r w:rsidR="00E145FA" w:rsidRPr="0030252E">
        <w:rPr>
          <w:szCs w:val="24"/>
        </w:rPr>
        <w:t>on AMD T</w:t>
      </w:r>
      <w:r w:rsidR="00DB6CD2" w:rsidRPr="0030252E">
        <w:rPr>
          <w:szCs w:val="24"/>
        </w:rPr>
        <w:t xml:space="preserve">reatment </w:t>
      </w:r>
      <w:r w:rsidR="00E145FA" w:rsidRPr="0030252E">
        <w:rPr>
          <w:szCs w:val="24"/>
        </w:rPr>
        <w:t>Plant</w:t>
      </w:r>
      <w:r w:rsidR="00DB6CD2" w:rsidRPr="0030252E">
        <w:rPr>
          <w:szCs w:val="24"/>
        </w:rPr>
        <w:t xml:space="preserve"> has operated since closure of the coal mine with minimal changes in treatment system components and </w:t>
      </w:r>
      <w:r w:rsidR="00E145FA" w:rsidRPr="0030252E">
        <w:rPr>
          <w:szCs w:val="24"/>
        </w:rPr>
        <w:t xml:space="preserve">its </w:t>
      </w:r>
      <w:r w:rsidR="00DB6CD2" w:rsidRPr="0030252E">
        <w:rPr>
          <w:szCs w:val="24"/>
        </w:rPr>
        <w:t xml:space="preserve">operation over the past 30 years. </w:t>
      </w:r>
    </w:p>
    <w:p w:rsidR="00DB6CD2" w:rsidRPr="0030252E" w:rsidRDefault="00DB6CD2" w:rsidP="0030252E">
      <w:pPr>
        <w:pStyle w:val="BodyTextIndent"/>
        <w:spacing w:line="240" w:lineRule="auto"/>
        <w:ind w:firstLine="360"/>
        <w:rPr>
          <w:szCs w:val="24"/>
        </w:rPr>
      </w:pPr>
    </w:p>
    <w:p w:rsidR="009D0CCB" w:rsidRPr="0030252E" w:rsidRDefault="0030252E" w:rsidP="0030252E">
      <w:pPr>
        <w:pStyle w:val="BodyTextIndent"/>
        <w:spacing w:line="240" w:lineRule="auto"/>
        <w:ind w:firstLine="0"/>
        <w:rPr>
          <w:szCs w:val="24"/>
        </w:rPr>
      </w:pPr>
      <w:r>
        <w:rPr>
          <w:szCs w:val="24"/>
        </w:rPr>
        <w:tab/>
      </w:r>
      <w:r w:rsidR="009D0CCB" w:rsidRPr="0030252E">
        <w:rPr>
          <w:szCs w:val="24"/>
        </w:rPr>
        <w:t>Th</w:t>
      </w:r>
      <w:r w:rsidR="00F9797C" w:rsidRPr="0030252E">
        <w:rPr>
          <w:szCs w:val="24"/>
        </w:rPr>
        <w:t>is</w:t>
      </w:r>
      <w:r w:rsidR="009D0CCB" w:rsidRPr="0030252E">
        <w:rPr>
          <w:szCs w:val="24"/>
        </w:rPr>
        <w:t xml:space="preserve"> </w:t>
      </w:r>
      <w:r w:rsidR="00476E42" w:rsidRPr="0030252E">
        <w:rPr>
          <w:szCs w:val="24"/>
        </w:rPr>
        <w:t>present</w:t>
      </w:r>
      <w:r w:rsidR="00DB6CD2" w:rsidRPr="0030252E">
        <w:rPr>
          <w:szCs w:val="24"/>
        </w:rPr>
        <w:t>ation will provide b</w:t>
      </w:r>
      <w:r w:rsidR="00225D01" w:rsidRPr="0030252E">
        <w:rPr>
          <w:szCs w:val="24"/>
        </w:rPr>
        <w:t xml:space="preserve">ackground and implementation information related to the </w:t>
      </w:r>
      <w:r w:rsidR="00476E42" w:rsidRPr="0030252E">
        <w:rPr>
          <w:szCs w:val="24"/>
        </w:rPr>
        <w:t xml:space="preserve">modifications made at </w:t>
      </w:r>
      <w:r w:rsidR="009D0CCB" w:rsidRPr="0030252E">
        <w:rPr>
          <w:szCs w:val="24"/>
        </w:rPr>
        <w:t xml:space="preserve">the Rushton AMD Treatment Plant </w:t>
      </w:r>
      <w:r w:rsidR="00476E42" w:rsidRPr="0030252E">
        <w:rPr>
          <w:szCs w:val="24"/>
        </w:rPr>
        <w:t>over the past several years</w:t>
      </w:r>
      <w:r w:rsidR="00225D01" w:rsidRPr="0030252E">
        <w:rPr>
          <w:szCs w:val="24"/>
        </w:rPr>
        <w:t xml:space="preserve"> to</w:t>
      </w:r>
      <w:r w:rsidR="00476E42" w:rsidRPr="0030252E">
        <w:rPr>
          <w:szCs w:val="24"/>
        </w:rPr>
        <w:t xml:space="preserve"> improve</w:t>
      </w:r>
      <w:r w:rsidR="00225D01" w:rsidRPr="0030252E">
        <w:rPr>
          <w:szCs w:val="24"/>
        </w:rPr>
        <w:t xml:space="preserve"> the</w:t>
      </w:r>
      <w:r w:rsidR="00476E42" w:rsidRPr="0030252E">
        <w:rPr>
          <w:szCs w:val="24"/>
        </w:rPr>
        <w:t xml:space="preserve"> performance of the existing treatment system and lower the overall costs of treatment.</w:t>
      </w:r>
      <w:r w:rsidR="009D0CCB" w:rsidRPr="0030252E">
        <w:rPr>
          <w:szCs w:val="24"/>
        </w:rPr>
        <w:t xml:space="preserve"> Th</w:t>
      </w:r>
      <w:r w:rsidR="00225D01" w:rsidRPr="0030252E">
        <w:rPr>
          <w:szCs w:val="24"/>
        </w:rPr>
        <w:t>e</w:t>
      </w:r>
      <w:r w:rsidR="009D0CCB" w:rsidRPr="0030252E">
        <w:rPr>
          <w:szCs w:val="24"/>
        </w:rPr>
        <w:t xml:space="preserve"> </w:t>
      </w:r>
      <w:r w:rsidR="00225D01" w:rsidRPr="0030252E">
        <w:rPr>
          <w:szCs w:val="24"/>
        </w:rPr>
        <w:t xml:space="preserve">primary modification efforts focused on </w:t>
      </w:r>
      <w:r w:rsidR="00476E42" w:rsidRPr="0030252E">
        <w:rPr>
          <w:szCs w:val="24"/>
        </w:rPr>
        <w:t xml:space="preserve">pre-aeration </w:t>
      </w:r>
      <w:r w:rsidR="00225D01" w:rsidRPr="0030252E">
        <w:rPr>
          <w:szCs w:val="24"/>
        </w:rPr>
        <w:t xml:space="preserve">to remove carbon dioxide present </w:t>
      </w:r>
      <w:r w:rsidR="00E145FA" w:rsidRPr="0030252E">
        <w:rPr>
          <w:szCs w:val="24"/>
        </w:rPr>
        <w:t xml:space="preserve">at high concentrations </w:t>
      </w:r>
      <w:r w:rsidR="00225D01" w:rsidRPr="0030252E">
        <w:rPr>
          <w:szCs w:val="24"/>
        </w:rPr>
        <w:t xml:space="preserve">in the mine water in order </w:t>
      </w:r>
      <w:r w:rsidR="00476E42" w:rsidRPr="0030252E">
        <w:rPr>
          <w:szCs w:val="24"/>
        </w:rPr>
        <w:t xml:space="preserve">to lower </w:t>
      </w:r>
      <w:r w:rsidR="00D8767C" w:rsidRPr="0030252E">
        <w:rPr>
          <w:szCs w:val="24"/>
        </w:rPr>
        <w:t>lime use</w:t>
      </w:r>
      <w:r w:rsidR="00225D01" w:rsidRPr="0030252E">
        <w:rPr>
          <w:szCs w:val="24"/>
        </w:rPr>
        <w:t>,</w:t>
      </w:r>
      <w:r w:rsidR="00D8767C" w:rsidRPr="0030252E">
        <w:rPr>
          <w:szCs w:val="24"/>
        </w:rPr>
        <w:t xml:space="preserve"> </w:t>
      </w:r>
      <w:r w:rsidR="00476E42" w:rsidRPr="0030252E">
        <w:rPr>
          <w:szCs w:val="24"/>
        </w:rPr>
        <w:t>treatment costs</w:t>
      </w:r>
      <w:r w:rsidR="00225D01" w:rsidRPr="0030252E">
        <w:rPr>
          <w:szCs w:val="24"/>
        </w:rPr>
        <w:t xml:space="preserve">, and sludge production. As part of the </w:t>
      </w:r>
      <w:r w:rsidR="00E145FA" w:rsidRPr="0030252E">
        <w:rPr>
          <w:szCs w:val="24"/>
        </w:rPr>
        <w:t xml:space="preserve">modification </w:t>
      </w:r>
      <w:r w:rsidR="00225D01" w:rsidRPr="0030252E">
        <w:rPr>
          <w:szCs w:val="24"/>
        </w:rPr>
        <w:t>effort</w:t>
      </w:r>
      <w:r>
        <w:rPr>
          <w:szCs w:val="24"/>
        </w:rPr>
        <w:t>,</w:t>
      </w:r>
      <w:r w:rsidR="00225D01" w:rsidRPr="0030252E">
        <w:rPr>
          <w:szCs w:val="24"/>
        </w:rPr>
        <w:t xml:space="preserve"> the existing aeration/mixing tank</w:t>
      </w:r>
      <w:r w:rsidR="00E145FA" w:rsidRPr="0030252E">
        <w:rPr>
          <w:szCs w:val="24"/>
        </w:rPr>
        <w:t>, which follows the pre-aeration system,</w:t>
      </w:r>
      <w:r w:rsidR="00225D01" w:rsidRPr="0030252E">
        <w:rPr>
          <w:szCs w:val="24"/>
        </w:rPr>
        <w:t xml:space="preserve"> was evaluated to determine if aeration could be eliminated</w:t>
      </w:r>
      <w:r w:rsidR="00E145FA" w:rsidRPr="0030252E">
        <w:rPr>
          <w:szCs w:val="24"/>
        </w:rPr>
        <w:t xml:space="preserve"> to</w:t>
      </w:r>
      <w:r w:rsidR="00225D01" w:rsidRPr="0030252E">
        <w:rPr>
          <w:szCs w:val="24"/>
        </w:rPr>
        <w:t xml:space="preserve"> provide additional benefits in treatment costs and sludge production</w:t>
      </w:r>
      <w:r w:rsidR="00D8767C" w:rsidRPr="0030252E">
        <w:rPr>
          <w:szCs w:val="24"/>
        </w:rPr>
        <w:t>,</w:t>
      </w:r>
      <w:r w:rsidR="00476E42" w:rsidRPr="0030252E">
        <w:rPr>
          <w:szCs w:val="24"/>
        </w:rPr>
        <w:t xml:space="preserve"> and </w:t>
      </w:r>
      <w:r w:rsidR="00225D01" w:rsidRPr="0030252E">
        <w:rPr>
          <w:szCs w:val="24"/>
        </w:rPr>
        <w:t xml:space="preserve">potentially </w:t>
      </w:r>
      <w:r w:rsidR="00476E42" w:rsidRPr="0030252E">
        <w:rPr>
          <w:szCs w:val="24"/>
        </w:rPr>
        <w:t>improve iron and manganese removal</w:t>
      </w:r>
      <w:r w:rsidR="00225D01" w:rsidRPr="0030252E">
        <w:rPr>
          <w:szCs w:val="24"/>
        </w:rPr>
        <w:t>.</w:t>
      </w:r>
    </w:p>
    <w:p w:rsidR="00D2471B" w:rsidRPr="0030252E" w:rsidRDefault="00D2471B" w:rsidP="0030252E">
      <w:pPr>
        <w:pStyle w:val="BodyTextIndent"/>
        <w:spacing w:line="228" w:lineRule="auto"/>
        <w:ind w:firstLine="0"/>
        <w:rPr>
          <w:szCs w:val="24"/>
        </w:rPr>
      </w:pPr>
    </w:p>
    <w:p w:rsidR="004F2797" w:rsidRPr="0030252E" w:rsidRDefault="0030252E" w:rsidP="0030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5D01" w:rsidRPr="0030252E">
        <w:rPr>
          <w:rFonts w:ascii="Times New Roman" w:hAnsi="Times New Roman" w:cs="Times New Roman"/>
        </w:rPr>
        <w:t xml:space="preserve">The pre-aeration system was installed in the summer of 2013 and the </w:t>
      </w:r>
      <w:r w:rsidR="00C2030D" w:rsidRPr="0030252E">
        <w:rPr>
          <w:rFonts w:ascii="Times New Roman" w:hAnsi="Times New Roman" w:cs="Times New Roman"/>
        </w:rPr>
        <w:t>aeration/mixing tank</w:t>
      </w:r>
      <w:r w:rsidR="00225D01" w:rsidRPr="0030252E">
        <w:rPr>
          <w:rFonts w:ascii="Times New Roman" w:hAnsi="Times New Roman" w:cs="Times New Roman"/>
        </w:rPr>
        <w:t xml:space="preserve"> modifications were completed in the spring of 2014. The pre-aeration system</w:t>
      </w:r>
      <w:r w:rsidR="00C2030D" w:rsidRPr="0030252E">
        <w:rPr>
          <w:rFonts w:ascii="Times New Roman" w:hAnsi="Times New Roman" w:cs="Times New Roman"/>
        </w:rPr>
        <w:t xml:space="preserve"> effectively </w:t>
      </w:r>
      <w:r w:rsidR="00C2030D" w:rsidRPr="0030252E">
        <w:rPr>
          <w:rFonts w:ascii="Times New Roman" w:hAnsi="Times New Roman" w:cs="Times New Roman"/>
        </w:rPr>
        <w:lastRenderedPageBreak/>
        <w:t>removed carbon dioxide acidity between 80</w:t>
      </w:r>
      <w:r w:rsidR="00E145FA" w:rsidRPr="0030252E">
        <w:rPr>
          <w:rFonts w:ascii="Times New Roman" w:hAnsi="Times New Roman" w:cs="Times New Roman"/>
        </w:rPr>
        <w:t>%</w:t>
      </w:r>
      <w:r w:rsidR="00C2030D" w:rsidRPr="0030252E">
        <w:rPr>
          <w:rFonts w:ascii="Times New Roman" w:hAnsi="Times New Roman" w:cs="Times New Roman"/>
        </w:rPr>
        <w:t xml:space="preserve"> and 90% at maximum treatment flows and greater than 95% at average treatment flows. In conjunction with the aeration/mixing tank</w:t>
      </w:r>
      <w:r w:rsidR="00225D01" w:rsidRPr="0030252E">
        <w:rPr>
          <w:rFonts w:ascii="Times New Roman" w:hAnsi="Times New Roman" w:cs="Times New Roman"/>
        </w:rPr>
        <w:t xml:space="preserve"> </w:t>
      </w:r>
      <w:r w:rsidR="000512D8" w:rsidRPr="0030252E">
        <w:rPr>
          <w:rFonts w:ascii="Times New Roman" w:hAnsi="Times New Roman" w:cs="Times New Roman"/>
        </w:rPr>
        <w:t>modifications</w:t>
      </w:r>
      <w:r w:rsidR="00C2030D" w:rsidRPr="0030252E">
        <w:rPr>
          <w:rFonts w:ascii="Times New Roman" w:hAnsi="Times New Roman" w:cs="Times New Roman"/>
        </w:rPr>
        <w:t>, the</w:t>
      </w:r>
      <w:r w:rsidR="000512D8" w:rsidRPr="0030252E">
        <w:rPr>
          <w:rFonts w:ascii="Times New Roman" w:hAnsi="Times New Roman" w:cs="Times New Roman"/>
        </w:rPr>
        <w:t xml:space="preserve"> treatment system modifications</w:t>
      </w:r>
      <w:r w:rsidR="00C2030D" w:rsidRPr="0030252E">
        <w:rPr>
          <w:rFonts w:ascii="Times New Roman" w:hAnsi="Times New Roman" w:cs="Times New Roman"/>
        </w:rPr>
        <w:t xml:space="preserve"> has </w:t>
      </w:r>
      <w:r w:rsidR="00225D01" w:rsidRPr="0030252E">
        <w:rPr>
          <w:rFonts w:ascii="Times New Roman" w:hAnsi="Times New Roman" w:cs="Times New Roman"/>
        </w:rPr>
        <w:t>decrease</w:t>
      </w:r>
      <w:r w:rsidR="000512D8" w:rsidRPr="0030252E">
        <w:rPr>
          <w:rFonts w:ascii="Times New Roman" w:hAnsi="Times New Roman" w:cs="Times New Roman"/>
        </w:rPr>
        <w:t>d</w:t>
      </w:r>
      <w:r w:rsidR="00225D01" w:rsidRPr="0030252E">
        <w:rPr>
          <w:rFonts w:ascii="Times New Roman" w:hAnsi="Times New Roman" w:cs="Times New Roman"/>
        </w:rPr>
        <w:t xml:space="preserve"> </w:t>
      </w:r>
      <w:r w:rsidR="000512D8" w:rsidRPr="0030252E">
        <w:rPr>
          <w:rFonts w:ascii="Times New Roman" w:hAnsi="Times New Roman" w:cs="Times New Roman"/>
        </w:rPr>
        <w:t>o</w:t>
      </w:r>
      <w:r w:rsidR="00225D01" w:rsidRPr="0030252E">
        <w:rPr>
          <w:rFonts w:ascii="Times New Roman" w:hAnsi="Times New Roman" w:cs="Times New Roman"/>
        </w:rPr>
        <w:t xml:space="preserve">verall operating costs by $0.25 million </w:t>
      </w:r>
      <w:r w:rsidR="000512D8" w:rsidRPr="0030252E">
        <w:rPr>
          <w:rFonts w:ascii="Times New Roman" w:hAnsi="Times New Roman" w:cs="Times New Roman"/>
        </w:rPr>
        <w:t>associated with</w:t>
      </w:r>
      <w:r w:rsidR="00225D01" w:rsidRPr="0030252E">
        <w:rPr>
          <w:rFonts w:ascii="Times New Roman" w:hAnsi="Times New Roman" w:cs="Times New Roman"/>
        </w:rPr>
        <w:t xml:space="preserve"> </w:t>
      </w:r>
      <w:r w:rsidR="000512D8" w:rsidRPr="0030252E">
        <w:rPr>
          <w:rFonts w:ascii="Times New Roman" w:hAnsi="Times New Roman" w:cs="Times New Roman"/>
        </w:rPr>
        <w:t xml:space="preserve">reductions in </w:t>
      </w:r>
      <w:r w:rsidR="00225D01" w:rsidRPr="0030252E">
        <w:rPr>
          <w:rFonts w:ascii="Times New Roman" w:hAnsi="Times New Roman" w:cs="Times New Roman"/>
        </w:rPr>
        <w:t xml:space="preserve">lime usage and electricity consumption. </w:t>
      </w:r>
      <w:r w:rsidR="00C2030D" w:rsidRPr="0030252E">
        <w:rPr>
          <w:rFonts w:ascii="Times New Roman" w:hAnsi="Times New Roman" w:cs="Times New Roman"/>
        </w:rPr>
        <w:t>In addition, t</w:t>
      </w:r>
      <w:r w:rsidR="00225D01" w:rsidRPr="0030252E">
        <w:rPr>
          <w:rFonts w:ascii="Times New Roman" w:hAnsi="Times New Roman" w:cs="Times New Roman"/>
        </w:rPr>
        <w:t xml:space="preserve">he volume of sludge has also decreased by approximately 50% by </w:t>
      </w:r>
      <w:r w:rsidR="00C2030D" w:rsidRPr="0030252E">
        <w:rPr>
          <w:rFonts w:ascii="Times New Roman" w:hAnsi="Times New Roman" w:cs="Times New Roman"/>
        </w:rPr>
        <w:t>minimizing</w:t>
      </w:r>
      <w:r w:rsidR="00225D01" w:rsidRPr="0030252E">
        <w:rPr>
          <w:rFonts w:ascii="Times New Roman" w:hAnsi="Times New Roman" w:cs="Times New Roman"/>
        </w:rPr>
        <w:t xml:space="preserve"> the precipitation of calcite associated with the carbon dioxide contained in the mine water and the added carbon dioxide from aeration previously provided in the </w:t>
      </w:r>
      <w:r w:rsidR="00C2030D" w:rsidRPr="0030252E">
        <w:rPr>
          <w:rFonts w:ascii="Times New Roman" w:hAnsi="Times New Roman" w:cs="Times New Roman"/>
        </w:rPr>
        <w:t>mixing/aeration</w:t>
      </w:r>
      <w:r w:rsidR="00225D01" w:rsidRPr="0030252E">
        <w:rPr>
          <w:rFonts w:ascii="Times New Roman" w:hAnsi="Times New Roman" w:cs="Times New Roman"/>
        </w:rPr>
        <w:t xml:space="preserve"> tank. This </w:t>
      </w:r>
      <w:r w:rsidR="00C2030D" w:rsidRPr="0030252E">
        <w:rPr>
          <w:rFonts w:ascii="Times New Roman" w:hAnsi="Times New Roman" w:cs="Times New Roman"/>
        </w:rPr>
        <w:t xml:space="preserve">decreased sludge production was not included in the direct operational costs savings, but could have substantial benefits </w:t>
      </w:r>
      <w:r w:rsidR="000512D8" w:rsidRPr="0030252E">
        <w:rPr>
          <w:rFonts w:ascii="Times New Roman" w:hAnsi="Times New Roman" w:cs="Times New Roman"/>
        </w:rPr>
        <w:t xml:space="preserve">and savings </w:t>
      </w:r>
      <w:r w:rsidR="00C2030D" w:rsidRPr="0030252E">
        <w:rPr>
          <w:rFonts w:ascii="Times New Roman" w:hAnsi="Times New Roman" w:cs="Times New Roman"/>
        </w:rPr>
        <w:t>by</w:t>
      </w:r>
      <w:r w:rsidR="00225D01" w:rsidRPr="0030252E">
        <w:rPr>
          <w:rFonts w:ascii="Times New Roman" w:hAnsi="Times New Roman" w:cs="Times New Roman"/>
        </w:rPr>
        <w:t xml:space="preserve"> </w:t>
      </w:r>
      <w:r w:rsidR="00C2030D" w:rsidRPr="0030252E">
        <w:rPr>
          <w:rFonts w:ascii="Times New Roman" w:hAnsi="Times New Roman" w:cs="Times New Roman"/>
        </w:rPr>
        <w:t xml:space="preserve">decreasing sludge handling and </w:t>
      </w:r>
      <w:r w:rsidR="00225D01" w:rsidRPr="0030252E">
        <w:rPr>
          <w:rFonts w:ascii="Times New Roman" w:hAnsi="Times New Roman" w:cs="Times New Roman"/>
        </w:rPr>
        <w:t>increas</w:t>
      </w:r>
      <w:r w:rsidR="00C2030D" w:rsidRPr="0030252E">
        <w:rPr>
          <w:rFonts w:ascii="Times New Roman" w:hAnsi="Times New Roman" w:cs="Times New Roman"/>
        </w:rPr>
        <w:t>ing</w:t>
      </w:r>
      <w:r w:rsidR="00225D01" w:rsidRPr="0030252E">
        <w:rPr>
          <w:rFonts w:ascii="Times New Roman" w:hAnsi="Times New Roman" w:cs="Times New Roman"/>
        </w:rPr>
        <w:t xml:space="preserve"> the sludge storage capacity </w:t>
      </w:r>
      <w:r w:rsidR="00C2030D" w:rsidRPr="0030252E">
        <w:rPr>
          <w:rFonts w:ascii="Times New Roman" w:hAnsi="Times New Roman" w:cs="Times New Roman"/>
        </w:rPr>
        <w:t>with</w:t>
      </w:r>
      <w:r w:rsidR="00225D01" w:rsidRPr="0030252E">
        <w:rPr>
          <w:rFonts w:ascii="Times New Roman" w:hAnsi="Times New Roman" w:cs="Times New Roman"/>
        </w:rPr>
        <w:t xml:space="preserve">in the deep mine injection locations. </w:t>
      </w:r>
      <w:r w:rsidR="00D03372" w:rsidRPr="0030252E">
        <w:rPr>
          <w:rFonts w:ascii="Times New Roman" w:hAnsi="Times New Roman" w:cs="Times New Roman"/>
        </w:rPr>
        <w:t xml:space="preserve">From an operational standpoint the removal of the carbon dioxide </w:t>
      </w:r>
      <w:r w:rsidR="00C2030D" w:rsidRPr="0030252E">
        <w:rPr>
          <w:rFonts w:ascii="Times New Roman" w:hAnsi="Times New Roman" w:cs="Times New Roman"/>
        </w:rPr>
        <w:t xml:space="preserve">also </w:t>
      </w:r>
      <w:r w:rsidR="00D03372" w:rsidRPr="0030252E">
        <w:rPr>
          <w:rFonts w:ascii="Times New Roman" w:hAnsi="Times New Roman" w:cs="Times New Roman"/>
        </w:rPr>
        <w:t xml:space="preserve">benefited the Rushton AMD Treatment Plant by not only lowering </w:t>
      </w:r>
      <w:r w:rsidR="00C2030D" w:rsidRPr="0030252E">
        <w:rPr>
          <w:rFonts w:ascii="Times New Roman" w:hAnsi="Times New Roman" w:cs="Times New Roman"/>
        </w:rPr>
        <w:t xml:space="preserve">current operational </w:t>
      </w:r>
      <w:r w:rsidR="00D03372" w:rsidRPr="0030252E">
        <w:rPr>
          <w:rFonts w:ascii="Times New Roman" w:hAnsi="Times New Roman" w:cs="Times New Roman"/>
        </w:rPr>
        <w:t>costs</w:t>
      </w:r>
      <w:r w:rsidR="000F34B0" w:rsidRPr="0030252E">
        <w:rPr>
          <w:rFonts w:ascii="Times New Roman" w:hAnsi="Times New Roman" w:cs="Times New Roman"/>
        </w:rPr>
        <w:t xml:space="preserve">, but also </w:t>
      </w:r>
      <w:r w:rsidR="00573C9F" w:rsidRPr="0030252E">
        <w:rPr>
          <w:rFonts w:ascii="Times New Roman" w:hAnsi="Times New Roman" w:cs="Times New Roman"/>
        </w:rPr>
        <w:t xml:space="preserve">by </w:t>
      </w:r>
      <w:r w:rsidR="000F34B0" w:rsidRPr="0030252E">
        <w:rPr>
          <w:rFonts w:ascii="Times New Roman" w:hAnsi="Times New Roman" w:cs="Times New Roman"/>
        </w:rPr>
        <w:t>minim</w:t>
      </w:r>
      <w:r w:rsidR="00C2030D" w:rsidRPr="0030252E">
        <w:rPr>
          <w:rFonts w:ascii="Times New Roman" w:hAnsi="Times New Roman" w:cs="Times New Roman"/>
        </w:rPr>
        <w:t>izing</w:t>
      </w:r>
      <w:r w:rsidR="000F34B0" w:rsidRPr="0030252E">
        <w:rPr>
          <w:rFonts w:ascii="Times New Roman" w:hAnsi="Times New Roman" w:cs="Times New Roman"/>
        </w:rPr>
        <w:t xml:space="preserve"> the required lime dose</w:t>
      </w:r>
      <w:r w:rsidR="00C2030D" w:rsidRPr="0030252E">
        <w:rPr>
          <w:rFonts w:ascii="Times New Roman" w:hAnsi="Times New Roman" w:cs="Times New Roman"/>
        </w:rPr>
        <w:t xml:space="preserve"> to achieve more stringent manganese effluent limits</w:t>
      </w:r>
      <w:r w:rsidR="000512D8" w:rsidRPr="0030252E">
        <w:rPr>
          <w:rFonts w:ascii="Times New Roman" w:hAnsi="Times New Roman" w:cs="Times New Roman"/>
        </w:rPr>
        <w:t xml:space="preserve"> that require increasing the operational pH from 8.5 to 9.5</w:t>
      </w:r>
      <w:r w:rsidR="000F34B0" w:rsidRPr="0030252E">
        <w:rPr>
          <w:rFonts w:ascii="Times New Roman" w:hAnsi="Times New Roman" w:cs="Times New Roman"/>
        </w:rPr>
        <w:t xml:space="preserve">. </w:t>
      </w:r>
    </w:p>
    <w:p w:rsidR="006B2B4F" w:rsidRPr="0030252E" w:rsidRDefault="006B2B4F" w:rsidP="0030252E">
      <w:pPr>
        <w:rPr>
          <w:rFonts w:ascii="Times New Roman" w:hAnsi="Times New Roman" w:cs="Times New Roman"/>
        </w:rPr>
      </w:pPr>
    </w:p>
    <w:sectPr w:rsidR="006B2B4F" w:rsidRPr="0030252E" w:rsidSect="005F543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C2" w:rsidRDefault="002130C2" w:rsidP="00BB3A5B">
      <w:r>
        <w:separator/>
      </w:r>
    </w:p>
  </w:endnote>
  <w:endnote w:type="continuationSeparator" w:id="0">
    <w:p w:rsidR="002130C2" w:rsidRDefault="002130C2" w:rsidP="00BB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32A" w:rsidRPr="00635BB4" w:rsidRDefault="0043432A">
    <w:pPr>
      <w:pStyle w:val="Footer"/>
      <w:rPr>
        <w:color w:val="000000"/>
        <w:sz w:val="20"/>
      </w:rPr>
    </w:pPr>
    <w:r w:rsidRPr="00635BB4">
      <w:rPr>
        <w:color w:val="000000"/>
        <w:sz w:val="20"/>
      </w:rPr>
      <w:tab/>
    </w:r>
    <w:r w:rsidR="00DF2BA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F2BA5">
      <w:rPr>
        <w:rStyle w:val="PageNumber"/>
      </w:rPr>
      <w:fldChar w:fldCharType="separate"/>
    </w:r>
    <w:r w:rsidR="0030252E">
      <w:rPr>
        <w:rStyle w:val="PageNumber"/>
        <w:noProof/>
      </w:rPr>
      <w:t>1</w:t>
    </w:r>
    <w:r w:rsidR="00DF2BA5">
      <w:rPr>
        <w:rStyle w:val="PageNumber"/>
      </w:rPr>
      <w:fldChar w:fldCharType="end"/>
    </w:r>
    <w:r w:rsidRPr="00635BB4">
      <w:rPr>
        <w:color w:val="000000"/>
        <w:sz w:val="20"/>
      </w:rPr>
      <w:tab/>
    </w:r>
    <w:r>
      <w:rPr>
        <w:color w:val="000000"/>
        <w:sz w:val="2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C2" w:rsidRDefault="002130C2" w:rsidP="00BB3A5B">
      <w:r>
        <w:separator/>
      </w:r>
    </w:p>
  </w:footnote>
  <w:footnote w:type="continuationSeparator" w:id="0">
    <w:p w:rsidR="002130C2" w:rsidRDefault="002130C2" w:rsidP="00BB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648"/>
    <w:multiLevelType w:val="hybridMultilevel"/>
    <w:tmpl w:val="C0D2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A174B"/>
    <w:multiLevelType w:val="hybridMultilevel"/>
    <w:tmpl w:val="21D8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2980"/>
    <w:multiLevelType w:val="hybridMultilevel"/>
    <w:tmpl w:val="21D8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76C19"/>
    <w:multiLevelType w:val="hybridMultilevel"/>
    <w:tmpl w:val="7A22CC5A"/>
    <w:lvl w:ilvl="0" w:tplc="2458B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175F"/>
    <w:rsid w:val="000512D8"/>
    <w:rsid w:val="000603FF"/>
    <w:rsid w:val="000933ED"/>
    <w:rsid w:val="00094839"/>
    <w:rsid w:val="000A5F09"/>
    <w:rsid w:val="000B36A9"/>
    <w:rsid w:val="000D6A67"/>
    <w:rsid w:val="000F34B0"/>
    <w:rsid w:val="001030C8"/>
    <w:rsid w:val="001152A8"/>
    <w:rsid w:val="001212E1"/>
    <w:rsid w:val="00143B73"/>
    <w:rsid w:val="00145EC2"/>
    <w:rsid w:val="001642C4"/>
    <w:rsid w:val="00173564"/>
    <w:rsid w:val="0018563E"/>
    <w:rsid w:val="00186EA4"/>
    <w:rsid w:val="001A3732"/>
    <w:rsid w:val="001C0A9D"/>
    <w:rsid w:val="001F4562"/>
    <w:rsid w:val="001F5A3D"/>
    <w:rsid w:val="002130C2"/>
    <w:rsid w:val="002229C9"/>
    <w:rsid w:val="00225D01"/>
    <w:rsid w:val="00257B1F"/>
    <w:rsid w:val="002A5A35"/>
    <w:rsid w:val="002D4007"/>
    <w:rsid w:val="002E01F0"/>
    <w:rsid w:val="002E08B5"/>
    <w:rsid w:val="0030252E"/>
    <w:rsid w:val="00336625"/>
    <w:rsid w:val="00342844"/>
    <w:rsid w:val="003569FB"/>
    <w:rsid w:val="003840A5"/>
    <w:rsid w:val="00384A3E"/>
    <w:rsid w:val="00387964"/>
    <w:rsid w:val="003C471A"/>
    <w:rsid w:val="003E175F"/>
    <w:rsid w:val="0043432A"/>
    <w:rsid w:val="00442516"/>
    <w:rsid w:val="00471625"/>
    <w:rsid w:val="00473C70"/>
    <w:rsid w:val="00476E42"/>
    <w:rsid w:val="00494F89"/>
    <w:rsid w:val="004F2797"/>
    <w:rsid w:val="00521D0F"/>
    <w:rsid w:val="00525917"/>
    <w:rsid w:val="00525C15"/>
    <w:rsid w:val="005278BD"/>
    <w:rsid w:val="00540B77"/>
    <w:rsid w:val="005621F5"/>
    <w:rsid w:val="00573C9F"/>
    <w:rsid w:val="00587590"/>
    <w:rsid w:val="005A29FA"/>
    <w:rsid w:val="005C3BCE"/>
    <w:rsid w:val="005E5D2E"/>
    <w:rsid w:val="005F3007"/>
    <w:rsid w:val="005F5434"/>
    <w:rsid w:val="00600E14"/>
    <w:rsid w:val="00611FB5"/>
    <w:rsid w:val="00623E01"/>
    <w:rsid w:val="00624D86"/>
    <w:rsid w:val="00675EDC"/>
    <w:rsid w:val="00696DAE"/>
    <w:rsid w:val="006A42BD"/>
    <w:rsid w:val="006B2B4F"/>
    <w:rsid w:val="006C1A53"/>
    <w:rsid w:val="006D39C8"/>
    <w:rsid w:val="006F6DF3"/>
    <w:rsid w:val="00705915"/>
    <w:rsid w:val="007071A4"/>
    <w:rsid w:val="00752501"/>
    <w:rsid w:val="0076795C"/>
    <w:rsid w:val="00772E36"/>
    <w:rsid w:val="00775812"/>
    <w:rsid w:val="007A2865"/>
    <w:rsid w:val="007C15FC"/>
    <w:rsid w:val="007D18ED"/>
    <w:rsid w:val="007D43C5"/>
    <w:rsid w:val="007E7CB0"/>
    <w:rsid w:val="007F03F0"/>
    <w:rsid w:val="007F6567"/>
    <w:rsid w:val="00876470"/>
    <w:rsid w:val="00887DAB"/>
    <w:rsid w:val="008976CB"/>
    <w:rsid w:val="008C6DB4"/>
    <w:rsid w:val="008E13DA"/>
    <w:rsid w:val="0093458F"/>
    <w:rsid w:val="009854EB"/>
    <w:rsid w:val="009C3637"/>
    <w:rsid w:val="009D0CCB"/>
    <w:rsid w:val="009D4D54"/>
    <w:rsid w:val="00A0369E"/>
    <w:rsid w:val="00A441F0"/>
    <w:rsid w:val="00A60091"/>
    <w:rsid w:val="00A628B9"/>
    <w:rsid w:val="00A87C0B"/>
    <w:rsid w:val="00AB2AF8"/>
    <w:rsid w:val="00AD2BD3"/>
    <w:rsid w:val="00AE4E0C"/>
    <w:rsid w:val="00B1225B"/>
    <w:rsid w:val="00B15FDC"/>
    <w:rsid w:val="00B31633"/>
    <w:rsid w:val="00B65A94"/>
    <w:rsid w:val="00B94CB3"/>
    <w:rsid w:val="00BB3A5B"/>
    <w:rsid w:val="00BF6A93"/>
    <w:rsid w:val="00C03FA4"/>
    <w:rsid w:val="00C13B27"/>
    <w:rsid w:val="00C158F7"/>
    <w:rsid w:val="00C2030D"/>
    <w:rsid w:val="00C5429B"/>
    <w:rsid w:val="00CB4CC6"/>
    <w:rsid w:val="00CB4EBB"/>
    <w:rsid w:val="00CC6425"/>
    <w:rsid w:val="00CE4141"/>
    <w:rsid w:val="00CF7D12"/>
    <w:rsid w:val="00D009FA"/>
    <w:rsid w:val="00D03372"/>
    <w:rsid w:val="00D0490B"/>
    <w:rsid w:val="00D173AA"/>
    <w:rsid w:val="00D22A11"/>
    <w:rsid w:val="00D23024"/>
    <w:rsid w:val="00D2471B"/>
    <w:rsid w:val="00D85600"/>
    <w:rsid w:val="00D8767C"/>
    <w:rsid w:val="00DA3003"/>
    <w:rsid w:val="00DB40C0"/>
    <w:rsid w:val="00DB6CD2"/>
    <w:rsid w:val="00DC0153"/>
    <w:rsid w:val="00DD4605"/>
    <w:rsid w:val="00DE29A4"/>
    <w:rsid w:val="00DF2BA5"/>
    <w:rsid w:val="00DF4AF7"/>
    <w:rsid w:val="00E11F77"/>
    <w:rsid w:val="00E13C90"/>
    <w:rsid w:val="00E141BB"/>
    <w:rsid w:val="00E145FA"/>
    <w:rsid w:val="00E3068D"/>
    <w:rsid w:val="00E36EC7"/>
    <w:rsid w:val="00E41A76"/>
    <w:rsid w:val="00E9057B"/>
    <w:rsid w:val="00EC1770"/>
    <w:rsid w:val="00EC3F18"/>
    <w:rsid w:val="00EC6F97"/>
    <w:rsid w:val="00ED0053"/>
    <w:rsid w:val="00ED0A42"/>
    <w:rsid w:val="00EE0708"/>
    <w:rsid w:val="00F00FBE"/>
    <w:rsid w:val="00F22005"/>
    <w:rsid w:val="00F43D01"/>
    <w:rsid w:val="00F56CB4"/>
    <w:rsid w:val="00F60BD9"/>
    <w:rsid w:val="00F80559"/>
    <w:rsid w:val="00F9797C"/>
    <w:rsid w:val="00F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02391CCF-B33B-4688-B358-6E8B8275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35"/>
  </w:style>
  <w:style w:type="paragraph" w:styleId="Heading1">
    <w:name w:val="heading 1"/>
    <w:basedOn w:val="Normal"/>
    <w:next w:val="Normal"/>
    <w:link w:val="Heading1Char"/>
    <w:uiPriority w:val="9"/>
    <w:qFormat/>
    <w:rsid w:val="00623E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3A5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23E0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278BD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642C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18E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7D18ED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7D18ED"/>
    <w:pPr>
      <w:widowControl w:val="0"/>
      <w:spacing w:line="215" w:lineRule="auto"/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8ED"/>
    <w:rPr>
      <w:rFonts w:ascii="Times New Roman" w:eastAsia="Times New Roman" w:hAnsi="Times New Roman" w:cs="Times New Roman"/>
      <w:snapToGrid w:val="0"/>
      <w:szCs w:val="20"/>
    </w:rPr>
  </w:style>
  <w:style w:type="character" w:styleId="PageNumber">
    <w:name w:val="page number"/>
    <w:basedOn w:val="DefaultParagraphFont"/>
    <w:rsid w:val="007D18ED"/>
  </w:style>
  <w:style w:type="character" w:customStyle="1" w:styleId="Heading2Char">
    <w:name w:val="Heading 2 Char"/>
    <w:basedOn w:val="DefaultParagraphFont"/>
    <w:link w:val="Heading2"/>
    <w:rsid w:val="00BB3A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B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A5B"/>
  </w:style>
  <w:style w:type="paragraph" w:styleId="BodyText">
    <w:name w:val="Body Text"/>
    <w:basedOn w:val="Normal"/>
    <w:link w:val="BodyTextChar"/>
    <w:rsid w:val="009D0CCB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9D0CCB"/>
    <w:rPr>
      <w:rFonts w:ascii="Times New Roman" w:eastAsia="Times New Roman" w:hAnsi="Times New Roman" w:cs="Times New Roman"/>
    </w:rPr>
  </w:style>
  <w:style w:type="paragraph" w:customStyle="1" w:styleId="RPARA">
    <w:name w:val="RPARA"/>
    <w:basedOn w:val="Normal"/>
    <w:rsid w:val="001F5A3D"/>
    <w:pPr>
      <w:spacing w:after="240"/>
      <w:ind w:right="144"/>
      <w:jc w:val="both"/>
    </w:pPr>
    <w:rPr>
      <w:rFonts w:ascii="Swis721 BT" w:eastAsia="Times New Roman" w:hAnsi="Swis721 B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3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23E0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278B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ableofFigures">
    <w:name w:val="table of figures"/>
    <w:basedOn w:val="Normal"/>
    <w:next w:val="Normal"/>
    <w:link w:val="TableofFiguresChar"/>
    <w:uiPriority w:val="99"/>
    <w:rsid w:val="005278BD"/>
    <w:pPr>
      <w:jc w:val="both"/>
    </w:pPr>
    <w:rPr>
      <w:rFonts w:ascii="Times New Roman" w:eastAsia="Times New Roman" w:hAnsi="Times New Roman" w:cs="Times New Roman"/>
    </w:rPr>
  </w:style>
  <w:style w:type="character" w:customStyle="1" w:styleId="TableofFiguresChar">
    <w:name w:val="Table of Figures Char"/>
    <w:link w:val="TableofFigures"/>
    <w:rsid w:val="005278BD"/>
    <w:rPr>
      <w:rFonts w:ascii="Times New Roman" w:eastAsia="Times New Roman" w:hAnsi="Times New Roman" w:cs="Times New Roman"/>
    </w:rPr>
  </w:style>
  <w:style w:type="character" w:customStyle="1" w:styleId="DataText">
    <w:name w:val="Data Text"/>
    <w:rsid w:val="00143B73"/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642C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1642C4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42C4"/>
    <w:rPr>
      <w:rFonts w:ascii="Courier New" w:eastAsia="Times New Roman" w:hAnsi="Courier New" w:cs="Courier New"/>
      <w:sz w:val="20"/>
      <w:szCs w:val="20"/>
    </w:rPr>
  </w:style>
  <w:style w:type="paragraph" w:styleId="Closing">
    <w:name w:val="Closing"/>
    <w:basedOn w:val="Normal"/>
    <w:link w:val="ClosingChar"/>
    <w:rsid w:val="00336625"/>
    <w:pPr>
      <w:spacing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3366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7A829-C770-4EB0-B2EC-2D149F18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Dietz</dc:creator>
  <cp:lastModifiedBy>Jeffrey Skousen</cp:lastModifiedBy>
  <cp:revision>4</cp:revision>
  <dcterms:created xsi:type="dcterms:W3CDTF">2015-03-24T03:11:00Z</dcterms:created>
  <dcterms:modified xsi:type="dcterms:W3CDTF">2015-03-24T13:28:00Z</dcterms:modified>
</cp:coreProperties>
</file>